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right="56"/>
      </w:pPr>
      <w:r>
        <w:rPr>
          <w:rFonts w:ascii="Times New Roman" w:hAnsi="Times New Roman" w:cs="Times New Roman"/>
          <w:sz w:val="44"/>
          <w:sz-cs w:val="44"/>
          <w:b/>
          <w:spacing w:val="-5"/>
        </w:rPr>
        <w:t xml:space="preserve">Особенности формирования речи у детей с нарушениями зрения.</w:t>
      </w:r>
    </w:p>
    <w:p>
      <w:pPr/>
      <w:r>
        <w:rPr>
          <w:rFonts w:ascii="Times New Roman" w:hAnsi="Times New Roman" w:cs="Times New Roman"/>
          <w:sz w:val="44"/>
          <w:sz-cs w:val="44"/>
          <w:b/>
          <w:spacing w:val="-5"/>
        </w:rPr>
        <w:t xml:space="preserve"/>
      </w:r>
    </w:p>
    <w:p>
      <w:pPr/>
      <w:r>
        <w:rPr>
          <w:rFonts w:ascii="Times New Roman" w:hAnsi="Times New Roman" w:cs="Times New Roman"/>
          <w:sz w:val="44"/>
          <w:sz-cs w:val="44"/>
          <w:b/>
          <w:spacing w:val="-5"/>
        </w:rPr>
        <w:t xml:space="preserve"/>
      </w:r>
    </w:p>
    <w:p>
      <w:pPr/>
      <w:r>
        <w:rPr>
          <w:rFonts w:ascii="Times New Roman" w:hAnsi="Times New Roman" w:cs="Times New Roman"/>
          <w:sz w:val="44"/>
          <w:sz-cs w:val="44"/>
          <w:b/>
          <w:spacing w:val="-5"/>
        </w:rPr>
        <w:t xml:space="preserve"/>
      </w:r>
    </w:p>
    <w:p>
      <w:pPr/>
      <w:r>
        <w:rPr>
          <w:rFonts w:ascii="Times New Roman" w:hAnsi="Times New Roman" w:cs="Times New Roman"/>
          <w:sz w:val="44"/>
          <w:sz-cs w:val="44"/>
          <w:b/>
          <w:spacing w:val="-5"/>
        </w:rPr>
        <w:t xml:space="preserve"/>
      </w:r>
    </w:p>
    <w:p>
      <w:pPr/>
      <w:r>
        <w:rPr>
          <w:rFonts w:ascii="Times New Roman" w:hAnsi="Times New Roman" w:cs="Times New Roman"/>
          <w:sz w:val="44"/>
          <w:sz-cs w:val="44"/>
          <w:b/>
          <w:spacing w:val="-5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-cs w:val="28"/>
        </w:rPr>
        <w:t xml:space="preserve">Добрынина М.В.   </w:t>
      </w:r>
    </w:p>
    <w:p>
      <w:pPr>
        <w:jc w:val="both"/>
        <w:ind w:right="56"/>
      </w:pPr>
      <w:r>
        <w:rPr>
          <w:rFonts w:ascii="Times New Roman" w:hAnsi="Times New Roman" w:cs="Times New Roman"/>
          <w:sz w:val="28"/>
          <w:sz-cs w:val="28"/>
          <w:spacing w:val="-2"/>
        </w:rPr>
        <w:t xml:space="preserve">Цель:</w:t>
      </w:r>
      <w:r>
        <w:rPr>
          <w:rFonts w:ascii="Arial" w:hAnsi="Arial" w:cs="Arial"/>
          <w:sz w:val="21"/>
          <w:sz-cs w:val="21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ознакомление дошкольников с нарушением зрения с миром социальных отношений.</w:t>
      </w:r>
    </w:p>
    <w:p>
      <w:pPr>
        <w:jc w:val="both"/>
      </w:pPr>
      <w:r>
        <w:rPr>
          <w:rFonts w:ascii="Times" w:hAnsi="Times" w:cs="Times"/>
          <w:sz w:val="28"/>
          <w:sz-cs w:val="28"/>
          <w:spacing w:val="-2"/>
        </w:rPr>
        <w:t xml:space="preserve">Задачи: </w:t>
      </w:r>
    </w:p>
    <w:p>
      <w:pPr>
        <w:ind w:left="150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>- учить детей ориентироваться в микропространстве;</w:t>
      </w:r>
    </w:p>
    <w:p>
      <w:pPr>
        <w:ind w:left="150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>- развивать общие речевые навыки, мимику;</w:t>
      </w:r>
    </w:p>
    <w:p>
      <w:pPr>
        <w:ind w:left="150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>- активизировать словарь по данной лексической теме;</w:t>
      </w:r>
    </w:p>
    <w:p>
      <w:pPr>
        <w:ind w:left="150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>- развивать внимание в процессе зрительного поиска, мелкую моторику;</w:t>
      </w:r>
    </w:p>
    <w:p>
      <w:pPr>
        <w:ind w:left="150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>- формировать доброжелательность, взаимопонимание, инициативность.</w:t>
      </w:r>
    </w:p>
    <w:p>
      <w:pPr>
        <w:jc w:val="both"/>
        <w:ind w:right="56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/>
      </w:r>
    </w:p>
    <w:p>
      <w:pPr>
        <w:jc w:val="both"/>
        <w:ind w:right="56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/>
      </w:r>
    </w:p>
    <w:p>
      <w:pPr>
        <w:jc w:val="both"/>
        <w:ind w:right="56"/>
      </w:pPr>
      <w:r>
        <w:rPr>
          <w:rFonts w:ascii="Times New Roman" w:hAnsi="Times New Roman" w:cs="Times New Roman"/>
          <w:sz w:val="28"/>
          <w:sz-cs w:val="28"/>
          <w:color w:val="262626"/>
        </w:rPr>
        <w:t xml:space="preserve"/>
      </w:r>
    </w:p>
    <w:p>
      <w:pPr>
        <w:jc w:val="both"/>
        <w:ind w:right="56"/>
      </w:pPr>
      <w:r>
        <w:rPr>
          <w:rFonts w:ascii="Times New Roman" w:hAnsi="Times New Roman" w:cs="Times New Roman"/>
          <w:sz w:val="28"/>
          <w:sz-cs w:val="28"/>
          <w:spacing w:val="-2"/>
        </w:rPr>
        <w:t xml:space="preserve">Речь ребенка с нарушениями зрения </w:t>
      </w:r>
      <w:r>
        <w:rPr>
          <w:rFonts w:ascii="Times New Roman" w:hAnsi="Times New Roman" w:cs="Times New Roman"/>
          <w:sz w:val="28"/>
          <w:sz-cs w:val="28"/>
          <w:spacing w:val="-5"/>
        </w:rPr>
        <w:t xml:space="preserve">имеет свои особенности формирования — изменяется </w:t>
      </w:r>
      <w:r>
        <w:rPr>
          <w:rFonts w:ascii="Times New Roman" w:hAnsi="Times New Roman" w:cs="Times New Roman"/>
          <w:sz w:val="28"/>
          <w:sz-cs w:val="28"/>
          <w:spacing w:val="-4"/>
        </w:rPr>
        <w:t xml:space="preserve">темп развития, нарушается словарно-семантическая стор</w:t>
      </w:r>
      <w:r>
        <w:rPr>
          <w:rFonts w:ascii="Times New Roman" w:hAnsi="Times New Roman" w:cs="Times New Roman"/>
          <w:sz w:val="28"/>
          <w:sz-cs w:val="28"/>
          <w:spacing w:val="-3"/>
        </w:rPr>
        <w:t xml:space="preserve">она речи, появляется «формализм», накопление значит</w:t>
      </w:r>
      <w:r>
        <w:rPr>
          <w:rFonts w:ascii="Times New Roman" w:hAnsi="Times New Roman" w:cs="Times New Roman"/>
          <w:sz w:val="28"/>
          <w:sz-cs w:val="28"/>
          <w:spacing w:val="-6"/>
        </w:rPr>
        <w:t xml:space="preserve">ельного количества слов, не связанных с конкретным сод</w:t>
      </w:r>
      <w:r>
        <w:rPr>
          <w:rFonts w:ascii="Times New Roman" w:hAnsi="Times New Roman" w:cs="Times New Roman"/>
          <w:sz w:val="28"/>
          <w:sz-cs w:val="28"/>
          <w:spacing w:val="-10"/>
        </w:rPr>
        <w:t xml:space="preserve">ержанием.</w:t>
      </w:r>
    </w:p>
    <w:p>
      <w:pPr>
        <w:jc w:val="both"/>
        <w:ind w:right="56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>У этих детей </w:t>
      </w:r>
      <w:r>
        <w:rPr>
          <w:rFonts w:ascii="Times New Roman" w:hAnsi="Times New Roman" w:cs="Times New Roman"/>
          <w:sz w:val="28"/>
          <w:sz-cs w:val="28"/>
          <w:b/>
          <w:i/>
          <w:spacing w:val="-4"/>
        </w:rPr>
        <w:t xml:space="preserve">наиболее типичны системные недоразвития речи, разно</w:t>
      </w:r>
      <w:r>
        <w:rPr>
          <w:rFonts w:ascii="Times New Roman" w:hAnsi="Times New Roman" w:cs="Times New Roman"/>
          <w:sz w:val="28"/>
          <w:sz-cs w:val="28"/>
          <w:b/>
          <w:i/>
        </w:rPr>
        <w:t xml:space="preserve">образные по своей структуре, причем встречаются они </w:t>
      </w:r>
      <w:r>
        <w:rPr>
          <w:rFonts w:ascii="Times New Roman" w:hAnsi="Times New Roman" w:cs="Times New Roman"/>
          <w:sz w:val="28"/>
          <w:sz-cs w:val="28"/>
          <w:b/>
          <w:i/>
          <w:spacing w:val="-2"/>
        </w:rPr>
        <w:t xml:space="preserve">значительно чаще, чем у их здоровых сверстников.</w:t>
      </w:r>
      <w:r>
        <w:rPr>
          <w:rFonts w:ascii="Times New Roman" w:hAnsi="Times New Roman" w:cs="Times New Roman"/>
          <w:sz w:val="28"/>
          <w:sz-cs w:val="28"/>
          <w:spacing w:val="-2"/>
        </w:rPr>
        <w:t xml:space="preserve"> Многие дети с </w:t>
      </w:r>
      <w:r>
        <w:rPr>
          <w:rFonts w:ascii="Times New Roman" w:hAnsi="Times New Roman" w:cs="Times New Roman"/>
          <w:sz w:val="28"/>
          <w:sz-cs w:val="28"/>
          <w:spacing w:val="-8"/>
        </w:rPr>
        <w:t xml:space="preserve">нарушением зрения не понимают смысловую сторону слов</w:t>
      </w:r>
      <w:r>
        <w:rPr>
          <w:rFonts w:ascii="Times New Roman" w:hAnsi="Times New Roman" w:cs="Times New Roman"/>
          <w:sz w:val="28"/>
          <w:sz-cs w:val="28"/>
          <w:spacing w:val="-4"/>
        </w:rPr>
        <w:t xml:space="preserve">а, которая не соотносится с чувственным образом предмета, используют слова, усвоенные на чисто вербальной </w:t>
      </w:r>
      <w:r>
        <w:rPr>
          <w:rFonts w:ascii="Times New Roman" w:hAnsi="Times New Roman" w:cs="Times New Roman"/>
          <w:sz w:val="28"/>
          <w:sz-cs w:val="28"/>
          <w:spacing w:val="-3"/>
        </w:rPr>
        <w:t xml:space="preserve">основе, они страдают эхолалией, отсутствием развернут</w:t>
      </w:r>
      <w:r>
        <w:rPr>
          <w:rFonts w:ascii="Times New Roman" w:hAnsi="Times New Roman" w:cs="Times New Roman"/>
          <w:sz w:val="28"/>
          <w:sz-cs w:val="28"/>
          <w:spacing w:val="-6"/>
        </w:rPr>
        <w:t xml:space="preserve">ых высказываний из-за недостатка зрительных впечатлен</w:t>
      </w:r>
      <w:r>
        <w:rPr>
          <w:rFonts w:ascii="Times New Roman" w:hAnsi="Times New Roman" w:cs="Times New Roman"/>
          <w:sz w:val="28"/>
          <w:sz-cs w:val="28"/>
          <w:spacing w:val="-12"/>
        </w:rPr>
        <w:t xml:space="preserve">ий.</w:t>
      </w:r>
    </w:p>
    <w:p>
      <w:pPr>
        <w:jc w:val="both"/>
        <w:ind w:right="56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>Уровень их спонтанной речи значительно ниже </w:t>
      </w:r>
      <w:r>
        <w:rPr>
          <w:rFonts w:ascii="Times New Roman" w:hAnsi="Times New Roman" w:cs="Times New Roman"/>
          <w:sz w:val="28"/>
          <w:sz-cs w:val="28"/>
          <w:b/>
          <w:i/>
          <w:spacing w:val="-8"/>
        </w:rPr>
        <w:t xml:space="preserve">нормы по всем показателям:</w:t>
      </w:r>
      <w:r>
        <w:rPr>
          <w:rFonts w:ascii="Times New Roman" w:hAnsi="Times New Roman" w:cs="Times New Roman"/>
          <w:sz w:val="28"/>
          <w:sz-cs w:val="28"/>
          <w:spacing w:val="-8"/>
        </w:rPr>
        <w:t xml:space="preserve"> с позиций раскрытия темы — </w:t>
      </w:r>
      <w:r>
        <w:rPr>
          <w:rFonts w:ascii="Times New Roman" w:hAnsi="Times New Roman" w:cs="Times New Roman"/>
          <w:sz w:val="28"/>
          <w:sz-cs w:val="28"/>
          <w:spacing w:val="-7"/>
        </w:rPr>
        <w:t xml:space="preserve">отражение лишь части предъявляемого материала; с позиц</w:t>
      </w:r>
      <w:r>
        <w:rPr>
          <w:rFonts w:ascii="Times New Roman" w:hAnsi="Times New Roman" w:cs="Times New Roman"/>
          <w:sz w:val="28"/>
          <w:sz-cs w:val="28"/>
          <w:spacing w:val="-4"/>
        </w:rPr>
        <w:t xml:space="preserve">ии содержательности — фрагментарность, отражение в </w:t>
      </w:r>
      <w:r>
        <w:rPr>
          <w:rFonts w:ascii="Times New Roman" w:hAnsi="Times New Roman" w:cs="Times New Roman"/>
          <w:sz w:val="28"/>
          <w:sz-cs w:val="28"/>
          <w:spacing w:val="-5"/>
        </w:rPr>
        <w:t xml:space="preserve">основном предметного содержания, отсутствие передачи </w:t>
      </w:r>
      <w:r>
        <w:rPr>
          <w:rFonts w:ascii="Times New Roman" w:hAnsi="Times New Roman" w:cs="Times New Roman"/>
          <w:sz w:val="28"/>
          <w:sz-cs w:val="28"/>
          <w:spacing w:val="-6"/>
        </w:rPr>
        <w:t xml:space="preserve">динамики, неумение вычленить и проанализировать главн</w:t>
      </w:r>
      <w:r>
        <w:rPr>
          <w:rFonts w:ascii="Times New Roman" w:hAnsi="Times New Roman" w:cs="Times New Roman"/>
          <w:sz w:val="28"/>
          <w:sz-cs w:val="28"/>
          <w:spacing w:val="-1"/>
        </w:rPr>
        <w:t xml:space="preserve">ые события в рассказе о своей жизни, трудности в соб</w:t>
      </w:r>
      <w:r>
        <w:rPr>
          <w:rFonts w:ascii="Times New Roman" w:hAnsi="Times New Roman" w:cs="Times New Roman"/>
          <w:sz w:val="28"/>
          <w:sz-cs w:val="28"/>
          <w:spacing w:val="-7"/>
        </w:rPr>
        <w:t xml:space="preserve">людении логичности.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spacing w:val="-7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Расстройство речи детей с нарушениями зрения является сложным дефектом, причем для большинства из них эти нарушения затрагивают не столько отдельные, сколько все или почти все компоненты речевой структуры как целостной системы. Преодоление расстройств речи у детей страдающих амблиопией, косоглазием, астигматизмом, и другими нарушениями зрения занимает достаточно долгое время и достигается с большим трудом. Это обусловлено сложной, часто сочетанной речевой патологией.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Зрение дает нам 85% информации. Это самый энергоемкий анализатор. Деятельность анализаторов наиболее успешно проявляется при их взаимодействии, это единая система. Каждый анализатор дополняя друг друга создает впечатление о целостности мира. Если выпадает один, то разрывается круг целостности.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Уже на первых этапах жизни человека его движения и действия осуществляются под контролем зрения. У детей с нарушениями зрения этот контроль нарушается. У них не происходит достаточного уточнения сигналов, поступающих от проприорецепторов, отмечается снижение кинестетической чувствительности, снижена возможность контролировать работу, положение и скорость перемещения рабочих органов, речедвигательного аппарата, оценивать расстояние и направление движения.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Важная роль в осуществлении речи принадлежит двигательному анализатору, деятельность которого обусловлена активностью речевых и неречевых мышц.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Речь развивается в процессе овладения языковыми и неязыковыми средствами общения. </w:t>
      </w:r>
      <w:r>
        <w:rPr>
          <w:rFonts w:ascii="Times New Roman" w:hAnsi="Times New Roman" w:cs="Times New Roman"/>
          <w:sz w:val="28"/>
          <w:sz-cs w:val="28"/>
          <w:b/>
        </w:rPr>
        <w:t xml:space="preserve">Своеобразие развития речи</w:t>
      </w:r>
      <w:r>
        <w:rPr>
          <w:rFonts w:ascii="Times New Roman" w:hAnsi="Times New Roman" w:cs="Times New Roman"/>
          <w:sz w:val="28"/>
          <w:sz-cs w:val="28"/>
        </w:rPr>
        <w:t xml:space="preserve"> у детей с нарушениями зрения проявляется в отставании формирования речевых навыков, накоплении языковых средств и выразительных движений, обеднении мимики.</w:t>
      </w:r>
    </w:p>
    <w:p>
      <w:pPr/>
      <w:r>
        <w:rPr>
          <w:rFonts w:ascii="Times" w:hAnsi="Times" w:cs="Times"/>
          <w:sz w:val="28"/>
          <w:sz-cs w:val="28"/>
        </w:rPr>
        <w:t xml:space="preserve">Причины могут быть следующие: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Ограничены визуальные возможности контроля за языковыми и не языковыми средствами общения.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Ограничены возможности подражательной деятельности.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Это особенно важно на начальных этапах развития речи, так как оно идет в значительной степени на основе рефлексов подражания.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При этом ребенок использует не только слух, но и зрение. Период активного гуления и лепета совпадает с развитием способности длительно фиксировать взор на артикуляции говорящего. Поэтому первыми у ребенка появляются гласные и губные звуки, которые он не только слышит, но и «видит».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Важную роль играет зрение в развитии начального понимания обращенной речи. Вначале понимание речи развивается на основе условного сочетательного рефлекса: ребенок в конкретной ситуации одновременно видит предмет и слышит его словесное обозначение.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Нарушения зрения влияют также на формирование звукопроизносительной стороны речи из-за нечеткости, неточности зрительного улавливания артикуляционных укладов, а следовательно, и несоответствии фонематического восприятия нужным артикуляционным укладам. Они длительное время неправильно произносят звуки, с трудом овладевают звуковым и звуко-буквенным анализом.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Уменьшение возможности </w:t>
      </w:r>
      <w:r>
        <w:rPr>
          <w:rFonts w:ascii="Times New Roman" w:hAnsi="Times New Roman" w:cs="Times New Roman"/>
          <w:sz w:val="28"/>
          <w:sz-cs w:val="28"/>
          <w:b/>
        </w:rPr>
        <w:t xml:space="preserve">развития двигательной сферы</w:t>
      </w:r>
      <w:r>
        <w:rPr>
          <w:rFonts w:ascii="Times New Roman" w:hAnsi="Times New Roman" w:cs="Times New Roman"/>
          <w:sz w:val="28"/>
          <w:sz-cs w:val="28"/>
        </w:rPr>
        <w:t xml:space="preserve">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Развитие зрительного восприятия и двигательной сферы ребенка тесно связаны с момента его рождения. Если в первые месяцы жизни ребенка движения рук и ног учат его видеть предметы, фиксировать свое внимание на движущемся объекте, то к 5–6 месяцам соотношение зрения и двигательной сферы изменяется. Глаз начинает играть ведущую роль в формировании движений, коррекции их точности и направленности.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Именно поэтому двигательная сфера детей с нарушениями зрения развивается иначе, чаще запаздывает в развитии, в координации движений, их точности, так как нарушенное зрение не обеспечивает ребенку необходимый контроль за движениями. При этом у детей с нарушением зрения наблюдаются некоторые специфические особенности развития двигательной сферы. У них чаще, чем у нормально видящих, можно наблюдать отсутствие самоконтроля, саморегуляции движений. А это, естественно, не может не сказаться на координации, согласованности действий.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Для детей с нарушениями зрения характерна нескоординированность зрительно-двигательных функций, нарушение микроориентирования и нарушение тонуса различных групп мышц.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Движения рук связаны с мышечно-двигательными ощущениями, с восприятием самого движения кинестетически и зрительно: ребенок видит, как движется рука, и ощущает это движение. При восприятии движения у него формируется зрительно-мышечный образ, представление о нем, и на этой основе строятся исполнительные действия.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 самом начале формирования навыка зрительный контроль имеет наибольшее значение, формируется кинестетический образ движения и контроль переходит к самой действующей руке. По мере формирования двигательного навыка роль зрительного контроля снижается.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Даже негрубая дисфункция двигательной сферы без своевременных и целенаправленных коррекционных воздействий может привести к вторичному недоразвитию более сложных и дифференцированных движений и действий, что отрицательно сказывается на становлении навыков рисования, конструирования, письма и других форм ручной деятельности ребенка.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Изменение (повышение или понижение) мышечного тонуса обуславливает истощаемость и утомляемость мышц кистей рук. Недостаточная дифференцированность иннервации мышц пальцев и кистей рук делает движения неловкими, препятствует их согласованности и плавности. По мере нарастания утомления движения детей становятся неточными, крупноразмашистыми либо слишком мелкими.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Моторика детей с нарушениями зрения отличается общей неловкостью, недостаточной координированностью, они неловки в навыках самообслуживания, отстают от сверстников по ловкости и точности движений, у них с задержкой развивается готовность руки к письму.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Мышечные возможности руки ребенка с нарушениями зрения требуют особой тренировки и коррекции Упражнения для кисти и пальцев позволяют коррегировать движения, воздействовать на все мышцы руки, тренировать мышечные усилия и точность двигательных реакций. Тренировка тонких движений пальцев рук является стимулирующей для общего развития ребенка и, особенно, для развития речи, а также является «мощным средством повышения работоспособности коры головного мозга». (М.М. Кольцова 1973).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Уровень развития речи детей находится в прямой зависимости от степени сформированности тонких движений пальцев рук. По мнению М.М. Кольцовой «морфологическое и функциональное формирование речевых областей совершается под влиянием кинестетических импульсов от рук». Она особо подчеркивает, что «влияние проприоцептивной импульсации с мышц руки так значительно только в детском возрасте, пока идет формирование речевой моторной области».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>Поскольку существует тесная взаимосвязь и взаимозависимость речевой и моторной деятельности, что позволяет использовать более сохранную функцию для коррекции нарушений другой, то при наличии речевого дефекта у ребенка на тренировку его пальцев необходимо обратить особое внимание.</w:t>
      </w:r>
      <w:r>
        <w:rPr>
          <w:rFonts w:ascii="Times New Roman" w:hAnsi="Times New Roman" w:cs="Times New Roman"/>
          <w:sz w:val="28"/>
          <w:sz-cs w:val="28"/>
        </w:rPr>
        <w:t xml:space="preserve"> Коррекция звукопроизношения происходит значительно медленнее, если этот аспект работы выпадает из поля зрения логопеда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Средовые условия воспитания и общения.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У детей с нарушениями зрения речевые нарушения встречаются в 2 раза чаще, чем у нормально видящих детей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Дефекты зрения чаще всего усиливают влияние ведущих факторов, лежащих в основе патологии речи. Такую взаимообусловленность следует расценивать как синдром взаимного отягощения. Нельзя не учитывать тех общих заболеваний, которые лежат в основе как зрительной, так и речевой патологии или усиливают ту и другую. Это избирательное влияние токсикозов, внутриутробных патологических процессов, родовых травм, асфиксии, тяжелых соматических и инфекционных заболеваний.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Во всех случаях дети с нарушениями зрения нуждаются в осторожном, дифференцированном подходе. Нужно учитывать дозированность зрительной и физической нагрузки. Так, например, некоторые из упражнений требующие статических напряжений и нервно-мышечного напряжения, слабовидящим, детям с косоглазием, подвывихом хрусталика - противопоказаны.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</cp:coreProperties>
</file>

<file path=docProps/meta.xml><?xml version="1.0" encoding="utf-8"?>
<meta xmlns="http://schemas.apple.com/cocoa/2006/metadata">
  <generator>CocoaOOXMLWriter/1348.17</generator>
</meta>
</file>